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21" w:rsidRPr="0074395F" w:rsidRDefault="00BC1021" w:rsidP="00BC1021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8249C35" wp14:editId="2F89A181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021" w:rsidRPr="0074395F" w:rsidRDefault="00BC1021" w:rsidP="00BC1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BC1021" w:rsidRPr="0074395F" w:rsidRDefault="00BC1021" w:rsidP="00BC1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C1021" w:rsidRPr="0074395F" w:rsidRDefault="00BC1021" w:rsidP="00BC1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C1021" w:rsidRPr="0074395F" w:rsidRDefault="00BC1021" w:rsidP="00BC10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021" w:rsidRPr="0074395F" w:rsidRDefault="00BC1021" w:rsidP="00BC1021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C1021" w:rsidRDefault="00BC1021" w:rsidP="00BC1021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(</w:t>
      </w:r>
      <w:r w:rsidR="00D015CD">
        <w:rPr>
          <w:rFonts w:ascii="Times New Roman" w:hAnsi="Times New Roman" w:cs="Times New Roman"/>
          <w:b/>
          <w:sz w:val="28"/>
          <w:szCs w:val="28"/>
        </w:rPr>
        <w:t xml:space="preserve">четвёртая очередная </w:t>
      </w:r>
      <w:r>
        <w:rPr>
          <w:rFonts w:ascii="Times New Roman" w:hAnsi="Times New Roman" w:cs="Times New Roman"/>
          <w:b/>
          <w:sz w:val="28"/>
          <w:szCs w:val="28"/>
        </w:rPr>
        <w:t>сессия</w:t>
      </w:r>
      <w:r w:rsidRPr="0074395F">
        <w:rPr>
          <w:rFonts w:ascii="Times New Roman" w:hAnsi="Times New Roman" w:cs="Times New Roman"/>
          <w:b/>
          <w:sz w:val="28"/>
          <w:szCs w:val="28"/>
        </w:rPr>
        <w:t>)</w:t>
      </w:r>
    </w:p>
    <w:p w:rsidR="00BC1021" w:rsidRDefault="00BC1021" w:rsidP="00BC1021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1021" w:rsidRDefault="00BC1021" w:rsidP="00BC1021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015CD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1B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</w:t>
      </w:r>
      <w:r w:rsidR="00F67227">
        <w:rPr>
          <w:rFonts w:ascii="Times New Roman" w:hAnsi="Times New Roman" w:cs="Times New Roman"/>
          <w:sz w:val="28"/>
          <w:szCs w:val="28"/>
        </w:rPr>
        <w:t>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015CD">
        <w:rPr>
          <w:rFonts w:ascii="Times New Roman" w:hAnsi="Times New Roman" w:cs="Times New Roman"/>
          <w:sz w:val="28"/>
          <w:szCs w:val="28"/>
        </w:rPr>
        <w:t xml:space="preserve">                № 38</w:t>
      </w:r>
    </w:p>
    <w:p w:rsidR="00FE2401" w:rsidRPr="007010B3" w:rsidRDefault="00FE2401" w:rsidP="00B36891">
      <w:pPr>
        <w:pStyle w:val="a4"/>
        <w:ind w:left="0" w:firstLine="567"/>
        <w:jc w:val="center"/>
        <w:rPr>
          <w:color w:val="000000"/>
          <w:sz w:val="24"/>
          <w:szCs w:val="24"/>
        </w:rPr>
      </w:pPr>
    </w:p>
    <w:p w:rsidR="00B32D95" w:rsidRPr="00B32D95" w:rsidRDefault="005A2031" w:rsidP="00B32D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2D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решение Совета депутатов Каргатского района Новосибирской области от </w:t>
      </w:r>
      <w:r w:rsidR="00B32D95" w:rsidRPr="00B32D95">
        <w:rPr>
          <w:rFonts w:ascii="Times New Roman" w:hAnsi="Times New Roman" w:cs="Times New Roman"/>
          <w:b w:val="0"/>
          <w:color w:val="000000"/>
          <w:sz w:val="28"/>
          <w:szCs w:val="28"/>
        </w:rPr>
        <w:t>24.09.2021 года № 67</w:t>
      </w:r>
      <w:r w:rsidR="00836792" w:rsidRPr="00B32D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32D95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32D95" w:rsidRPr="00B32D95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межбюджетных трансфертов бюджетам поселений Каргатского района из бюджета Каргатского района Новосибирской области, источником финансового обеспечения которых являются субсидии на реализацию мероприятий по организации тепло-, водоснабжения населения, водоо</w:t>
      </w:r>
      <w:r w:rsidR="00B32D95">
        <w:rPr>
          <w:rFonts w:ascii="Times New Roman" w:hAnsi="Times New Roman" w:cs="Times New Roman"/>
          <w:b w:val="0"/>
          <w:sz w:val="28"/>
          <w:szCs w:val="28"/>
        </w:rPr>
        <w:t>тведения в рамках подпрограммы «</w:t>
      </w:r>
      <w:r w:rsidR="00B32D95" w:rsidRPr="00B32D95">
        <w:rPr>
          <w:rFonts w:ascii="Times New Roman" w:hAnsi="Times New Roman" w:cs="Times New Roman"/>
          <w:b w:val="0"/>
          <w:sz w:val="28"/>
          <w:szCs w:val="28"/>
        </w:rPr>
        <w:t>Безопасность жи</w:t>
      </w:r>
      <w:r w:rsidR="00B32D95">
        <w:rPr>
          <w:rFonts w:ascii="Times New Roman" w:hAnsi="Times New Roman" w:cs="Times New Roman"/>
          <w:b w:val="0"/>
          <w:sz w:val="28"/>
          <w:szCs w:val="28"/>
        </w:rPr>
        <w:t>лищно-коммунального хозяйства» г</w:t>
      </w:r>
      <w:r w:rsidR="00B32D95" w:rsidRPr="00B32D95">
        <w:rPr>
          <w:rFonts w:ascii="Times New Roman" w:hAnsi="Times New Roman" w:cs="Times New Roman"/>
          <w:b w:val="0"/>
          <w:sz w:val="28"/>
          <w:szCs w:val="28"/>
        </w:rPr>
        <w:t>осударственной П</w:t>
      </w:r>
      <w:r w:rsidR="00B32D95">
        <w:rPr>
          <w:rFonts w:ascii="Times New Roman" w:hAnsi="Times New Roman" w:cs="Times New Roman"/>
          <w:b w:val="0"/>
          <w:sz w:val="28"/>
          <w:szCs w:val="28"/>
        </w:rPr>
        <w:t>рограммы Новосибирской области «</w:t>
      </w:r>
      <w:r w:rsidR="00B32D95" w:rsidRPr="00B32D95">
        <w:rPr>
          <w:rFonts w:ascii="Times New Roman" w:hAnsi="Times New Roman" w:cs="Times New Roman"/>
          <w:b w:val="0"/>
          <w:sz w:val="28"/>
          <w:szCs w:val="28"/>
        </w:rPr>
        <w:t xml:space="preserve">Жилищно-коммунальное </w:t>
      </w:r>
      <w:r w:rsidR="00B32D95">
        <w:rPr>
          <w:rFonts w:ascii="Times New Roman" w:hAnsi="Times New Roman" w:cs="Times New Roman"/>
          <w:b w:val="0"/>
          <w:sz w:val="28"/>
          <w:szCs w:val="28"/>
        </w:rPr>
        <w:t>хозяйство Новосибирской области»</w:t>
      </w:r>
    </w:p>
    <w:p w:rsidR="002F07FE" w:rsidRPr="00F83BC0" w:rsidRDefault="002F07FE" w:rsidP="00B36891">
      <w:pPr>
        <w:pStyle w:val="a4"/>
        <w:ind w:left="0"/>
        <w:jc w:val="center"/>
        <w:rPr>
          <w:color w:val="000000"/>
          <w:sz w:val="28"/>
          <w:szCs w:val="28"/>
        </w:rPr>
      </w:pPr>
    </w:p>
    <w:p w:rsidR="004A2F28" w:rsidRPr="00C83C4F" w:rsidRDefault="002446E0" w:rsidP="00BC1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 xml:space="preserve">       </w:t>
      </w:r>
      <w:r w:rsidR="004A2F28" w:rsidRPr="00F83BC0">
        <w:rPr>
          <w:rFonts w:ascii="Times New Roman" w:hAnsi="Times New Roman" w:cs="Times New Roman"/>
          <w:sz w:val="28"/>
          <w:szCs w:val="28"/>
        </w:rPr>
        <w:t>В соответствии со статьей 142 Бюджетного кодекса Российской Федерации</w:t>
      </w:r>
      <w:r w:rsidR="004A2F28">
        <w:rPr>
          <w:rFonts w:ascii="Times New Roman" w:hAnsi="Times New Roman"/>
          <w:sz w:val="28"/>
          <w:szCs w:val="28"/>
        </w:rPr>
        <w:t>, Федеральным законом</w:t>
      </w:r>
      <w:r w:rsidR="004A2F28" w:rsidRPr="00C83C4F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Федерации»,</w:t>
      </w:r>
      <w:r w:rsidR="004A2F28" w:rsidRPr="00D73DBE">
        <w:t xml:space="preserve"> </w:t>
      </w:r>
      <w:r w:rsidR="004A2F28">
        <w:rPr>
          <w:rFonts w:ascii="Times New Roman" w:hAnsi="Times New Roman"/>
          <w:sz w:val="28"/>
          <w:szCs w:val="28"/>
        </w:rPr>
        <w:t>п</w:t>
      </w:r>
      <w:r w:rsidR="004A2F28" w:rsidRPr="00D73DBE">
        <w:rPr>
          <w:rFonts w:ascii="Times New Roman" w:hAnsi="Times New Roman"/>
          <w:sz w:val="28"/>
          <w:szCs w:val="28"/>
        </w:rPr>
        <w:t>остановление</w:t>
      </w:r>
      <w:r w:rsidR="004A2F28">
        <w:rPr>
          <w:rFonts w:ascii="Times New Roman" w:hAnsi="Times New Roman"/>
          <w:sz w:val="28"/>
          <w:szCs w:val="28"/>
        </w:rPr>
        <w:t>м</w:t>
      </w:r>
      <w:r w:rsidR="004A2F28" w:rsidRPr="00D73DBE">
        <w:rPr>
          <w:rFonts w:ascii="Times New Roman" w:hAnsi="Times New Roman"/>
          <w:sz w:val="28"/>
          <w:szCs w:val="28"/>
        </w:rPr>
        <w:t xml:space="preserve"> Правительства Новосибирс</w:t>
      </w:r>
      <w:r w:rsidR="00C435F2">
        <w:rPr>
          <w:rFonts w:ascii="Times New Roman" w:hAnsi="Times New Roman"/>
          <w:sz w:val="28"/>
          <w:szCs w:val="28"/>
        </w:rPr>
        <w:t>кой области от 16.02.2015 № 66-</w:t>
      </w:r>
      <w:r w:rsidR="004A2F28" w:rsidRPr="00D73DBE">
        <w:rPr>
          <w:rFonts w:ascii="Times New Roman" w:hAnsi="Times New Roman"/>
          <w:sz w:val="28"/>
          <w:szCs w:val="28"/>
        </w:rPr>
        <w:t>п «Об утверждении государственной программы Новосибирской области «Жилищно-коммунальное хозяйство Новосибирской области»</w:t>
      </w:r>
      <w:r w:rsidR="004A2F28">
        <w:rPr>
          <w:rFonts w:ascii="Times New Roman" w:hAnsi="Times New Roman"/>
          <w:sz w:val="28"/>
          <w:szCs w:val="28"/>
        </w:rPr>
        <w:t>,</w:t>
      </w:r>
      <w:r w:rsidR="004A2F28" w:rsidRPr="00C83C4F">
        <w:rPr>
          <w:rFonts w:ascii="Times New Roman" w:hAnsi="Times New Roman"/>
          <w:sz w:val="28"/>
          <w:szCs w:val="28"/>
        </w:rPr>
        <w:t xml:space="preserve"> статьями 16,17 Устава Каргатского района, Совет депутатов Каргатского района Новосибирской области </w:t>
      </w:r>
    </w:p>
    <w:p w:rsidR="002446E0" w:rsidRPr="00F83BC0" w:rsidRDefault="002446E0" w:rsidP="00F83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83BC0">
        <w:rPr>
          <w:rStyle w:val="a3"/>
          <w:rFonts w:ascii="Times New Roman" w:hAnsi="Times New Roman" w:cs="Times New Roman"/>
          <w:b w:val="0"/>
          <w:sz w:val="28"/>
          <w:szCs w:val="28"/>
        </w:rPr>
        <w:t>РЕШИЛ:</w:t>
      </w:r>
    </w:p>
    <w:p w:rsidR="005A2031" w:rsidRPr="00F83BC0" w:rsidRDefault="005A2031" w:rsidP="00442343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3BC0">
        <w:rPr>
          <w:sz w:val="28"/>
          <w:szCs w:val="28"/>
        </w:rPr>
        <w:t xml:space="preserve">Внести в решение Совета депутатов Каргатского района Новосибирской области </w:t>
      </w:r>
      <w:r w:rsidR="00B32D95" w:rsidRPr="00B32D95">
        <w:rPr>
          <w:sz w:val="28"/>
          <w:szCs w:val="28"/>
        </w:rPr>
        <w:t>от 24.09.2021 года № 67 «Об утверждении порядка предоставления межбюджетных трансфертов бюджетам поселений Каргатского района из бюджета Каргатского района Новосибирской области, источником финансового обеспечения которых являются субсидии на реализацию мероприятий по организации тепло-, водоснабжения населения, водоотведения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Pr="00F83BC0">
        <w:rPr>
          <w:sz w:val="28"/>
          <w:szCs w:val="28"/>
        </w:rPr>
        <w:t xml:space="preserve"> следующие изменения:</w:t>
      </w:r>
    </w:p>
    <w:p w:rsidR="00900DD2" w:rsidRDefault="00392F80" w:rsidP="0090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 xml:space="preserve">1.1. </w:t>
      </w:r>
      <w:r w:rsidR="00900DD2" w:rsidRPr="00F83BC0">
        <w:rPr>
          <w:rFonts w:ascii="Times New Roman" w:hAnsi="Times New Roman" w:cs="Times New Roman"/>
          <w:sz w:val="28"/>
          <w:szCs w:val="28"/>
        </w:rPr>
        <w:t xml:space="preserve">В </w:t>
      </w:r>
      <w:r w:rsidR="00900DD2">
        <w:rPr>
          <w:rFonts w:ascii="Times New Roman" w:hAnsi="Times New Roman" w:cs="Times New Roman"/>
          <w:sz w:val="28"/>
          <w:szCs w:val="28"/>
        </w:rPr>
        <w:t xml:space="preserve">наименовании Порядка слова </w:t>
      </w:r>
      <w:r w:rsidR="00900DD2" w:rsidRPr="00900DD2">
        <w:rPr>
          <w:rFonts w:ascii="Times New Roman" w:hAnsi="Times New Roman" w:cs="Times New Roman"/>
          <w:sz w:val="28"/>
          <w:szCs w:val="28"/>
        </w:rPr>
        <w:t xml:space="preserve">«субсидии на реализацию мероприятий по организации тепло-, водоснабжения населения, водоотведения,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</w:r>
      <w:r w:rsidR="00900DD2">
        <w:rPr>
          <w:rFonts w:ascii="Times New Roman" w:hAnsi="Times New Roman" w:cs="Times New Roman"/>
          <w:sz w:val="28"/>
          <w:szCs w:val="28"/>
        </w:rPr>
        <w:t>заменить словами</w:t>
      </w:r>
      <w:r w:rsidR="00900DD2" w:rsidRPr="00900DD2">
        <w:rPr>
          <w:rFonts w:ascii="Times New Roman" w:hAnsi="Times New Roman" w:cs="Times New Roman"/>
          <w:sz w:val="28"/>
          <w:szCs w:val="28"/>
        </w:rPr>
        <w:t xml:space="preserve"> «субсидии на реализацию мероприятий по организации функционирования систем жизнеобеспечения государственной </w:t>
      </w:r>
      <w:r w:rsidR="00900DD2" w:rsidRPr="00900DD2">
        <w:rPr>
          <w:rFonts w:ascii="Times New Roman" w:hAnsi="Times New Roman" w:cs="Times New Roman"/>
          <w:sz w:val="28"/>
          <w:szCs w:val="28"/>
        </w:rPr>
        <w:lastRenderedPageBreak/>
        <w:t>программы Новосибирской области «Жилищно-коммунальное хозяйство Новосибирской области»</w:t>
      </w:r>
      <w:r w:rsidR="00900DD2">
        <w:rPr>
          <w:rFonts w:ascii="Times New Roman" w:hAnsi="Times New Roman" w:cs="Times New Roman"/>
          <w:sz w:val="28"/>
          <w:szCs w:val="28"/>
        </w:rPr>
        <w:t>;</w:t>
      </w:r>
    </w:p>
    <w:p w:rsidR="00900DD2" w:rsidRDefault="00900DD2" w:rsidP="0090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00DD2">
        <w:rPr>
          <w:rFonts w:ascii="Times New Roman" w:hAnsi="Times New Roman" w:cs="Times New Roman"/>
          <w:sz w:val="28"/>
          <w:szCs w:val="28"/>
        </w:rPr>
        <w:t>В пункте 1.1. Порядка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DD2">
        <w:rPr>
          <w:rFonts w:ascii="Times New Roman" w:hAnsi="Times New Roman" w:cs="Times New Roman"/>
          <w:sz w:val="28"/>
          <w:szCs w:val="28"/>
        </w:rPr>
        <w:t>«на реализацию мероприятий, предусмотренных подпрограммой «Безопасность жи</w:t>
      </w:r>
      <w:r>
        <w:rPr>
          <w:rFonts w:ascii="Times New Roman" w:hAnsi="Times New Roman" w:cs="Times New Roman"/>
          <w:sz w:val="28"/>
          <w:szCs w:val="28"/>
        </w:rPr>
        <w:t>лищно-коммунального хозяйства» Государственной П</w:t>
      </w:r>
      <w:r w:rsidRPr="00900DD2">
        <w:rPr>
          <w:rFonts w:ascii="Times New Roman" w:hAnsi="Times New Roman" w:cs="Times New Roman"/>
          <w:sz w:val="28"/>
          <w:szCs w:val="28"/>
        </w:rPr>
        <w:t>рограммы Новосибирской области «Жилищно-коммунальное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900DD2">
        <w:rPr>
          <w:rFonts w:ascii="Times New Roman" w:hAnsi="Times New Roman" w:cs="Times New Roman"/>
          <w:sz w:val="28"/>
          <w:szCs w:val="28"/>
        </w:rPr>
        <w:t xml:space="preserve">на реализацию мероприятий, предусмотренных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программой</w:t>
      </w:r>
      <w:r w:rsidRPr="00900DD2">
        <w:rPr>
          <w:rFonts w:ascii="Times New Roman" w:hAnsi="Times New Roman" w:cs="Times New Roman"/>
          <w:sz w:val="28"/>
          <w:szCs w:val="28"/>
        </w:rPr>
        <w:t xml:space="preserve"> Новосибирской области «Жилищно-коммунальное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401" w:rsidRPr="00F83BC0" w:rsidRDefault="00392F80" w:rsidP="00900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>2. Направить данное решение Главе Каргатского района Новосибирской области для подписания</w:t>
      </w:r>
      <w:r w:rsidR="005339EC" w:rsidRPr="00F83BC0">
        <w:rPr>
          <w:rFonts w:ascii="Times New Roman" w:hAnsi="Times New Roman" w:cs="Times New Roman"/>
          <w:sz w:val="28"/>
          <w:szCs w:val="28"/>
        </w:rPr>
        <w:t xml:space="preserve"> и официального опубликования.</w:t>
      </w:r>
    </w:p>
    <w:p w:rsidR="005339EC" w:rsidRPr="00F83BC0" w:rsidRDefault="005339EC" w:rsidP="00F83BC0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>3. Решение вступает в силу с момента официального опубликования.</w:t>
      </w:r>
    </w:p>
    <w:p w:rsidR="00F83BC0" w:rsidRPr="001274CF" w:rsidRDefault="005339EC" w:rsidP="00F83BC0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BC0">
        <w:rPr>
          <w:rFonts w:ascii="Times New Roman" w:hAnsi="Times New Roman" w:cs="Times New Roman"/>
          <w:sz w:val="28"/>
          <w:szCs w:val="28"/>
        </w:rPr>
        <w:t xml:space="preserve">4. </w:t>
      </w:r>
      <w:r w:rsidR="00F83BC0" w:rsidRPr="001274CF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комиссию по бюджету, налоговой и финансово-кредитной политике и имуществу.</w:t>
      </w:r>
    </w:p>
    <w:p w:rsidR="005339EC" w:rsidRPr="00F83BC0" w:rsidRDefault="005339EC" w:rsidP="00F83BC0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D93" w:rsidRPr="00F83BC0" w:rsidRDefault="00440D93" w:rsidP="005339EC">
      <w:pPr>
        <w:tabs>
          <w:tab w:val="left" w:pos="456"/>
          <w:tab w:val="left" w:pos="6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C1021" w:rsidRPr="00455CE4" w:rsidTr="00B83CD1">
        <w:trPr>
          <w:trHeight w:val="1387"/>
        </w:trPr>
        <w:tc>
          <w:tcPr>
            <w:tcW w:w="4927" w:type="dxa"/>
            <w:vAlign w:val="center"/>
          </w:tcPr>
          <w:p w:rsidR="00BC1021" w:rsidRPr="00455CE4" w:rsidRDefault="00BC1021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BC1021" w:rsidRPr="00455CE4" w:rsidRDefault="00BC1021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BC1021" w:rsidRPr="00455CE4" w:rsidRDefault="00BC1021" w:rsidP="00B83CD1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BC1021" w:rsidRPr="00455CE4" w:rsidRDefault="00BC1021" w:rsidP="00B83C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center"/>
          </w:tcPr>
          <w:p w:rsidR="00BC1021" w:rsidRPr="00455CE4" w:rsidRDefault="00BC1021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BC1021" w:rsidRPr="00455CE4" w:rsidRDefault="00BC1021" w:rsidP="00B83CD1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BC1021" w:rsidRPr="00455CE4" w:rsidRDefault="00BC1021" w:rsidP="00B83C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1021" w:rsidRPr="00455CE4" w:rsidTr="00B83CD1">
        <w:tc>
          <w:tcPr>
            <w:tcW w:w="4927" w:type="dxa"/>
            <w:vAlign w:val="bottom"/>
          </w:tcPr>
          <w:p w:rsidR="00BC1021" w:rsidRPr="00455CE4" w:rsidRDefault="00D015CD" w:rsidP="00D015CD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="00BC1021"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Н.А. Зубарева</w:t>
            </w:r>
          </w:p>
          <w:p w:rsidR="00BC1021" w:rsidRPr="00455CE4" w:rsidRDefault="00BC1021" w:rsidP="00B83C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bottom"/>
          </w:tcPr>
          <w:p w:rsidR="00BC1021" w:rsidRPr="00455CE4" w:rsidRDefault="00D015CD" w:rsidP="00D015CD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BC1021"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BC1021" w:rsidRPr="00455CE4" w:rsidRDefault="00BC1021" w:rsidP="00B83CD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2401" w:rsidRPr="00F83BC0" w:rsidRDefault="00FE2401" w:rsidP="0096610C">
      <w:pPr>
        <w:tabs>
          <w:tab w:val="left" w:pos="456"/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401" w:rsidRDefault="00FE2401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15CD" w:rsidRDefault="00D015CD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15CD" w:rsidRDefault="00D015CD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Default="00EE4C2C" w:rsidP="001B7A67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4C2C" w:rsidRPr="00F32718" w:rsidRDefault="00EE4C2C" w:rsidP="00EE4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E4C2C" w:rsidRPr="00F32718" w:rsidRDefault="00EE4C2C" w:rsidP="00EE4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EE4C2C" w:rsidRPr="00F32718" w:rsidRDefault="00EE4C2C" w:rsidP="00EE4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Каргатского района </w:t>
      </w:r>
    </w:p>
    <w:p w:rsidR="00EE4C2C" w:rsidRPr="00F32718" w:rsidRDefault="00EE4C2C" w:rsidP="00EE4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EE4C2C" w:rsidRPr="00F32718" w:rsidRDefault="00EE4C2C" w:rsidP="00EE4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пятого созыва</w:t>
      </w:r>
    </w:p>
    <w:p w:rsidR="00EE4C2C" w:rsidRPr="00F32718" w:rsidRDefault="00EE4C2C" w:rsidP="00EE4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0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32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№ </w:t>
      </w:r>
      <w:r w:rsidR="00D015CD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EE4C2C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межбюджетных трансфертов бюджетам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Новосибирской области, источником финансового обеспечения которых являются субсидии на реализацию мероприятий по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систем жизнеобеспечения государственной п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Настоящий Порядок разработан в соответствии с требованиями Бюджетного кодекса Российской Федерации и устанавливает порядок предоставления субсидий бюджетам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Новосибирской области (далее - бюджеты поселений)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Новосибирской области (далее - бюджет района) </w:t>
      </w:r>
      <w:r w:rsidRPr="00EE4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мероприятий, предусмотренных государственной программой Новосибирской области «Жилищно-коммунальное хозяйство Новосибирской области»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государственная программа).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Субсидии предоставляются бюджетам поселений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прохождения, на 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предоставления субсидий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Субсидии предоставляются муниципальным образованиям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(далее-муниципальные образования) в целях оказания государственной поддержки на исполнение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06.10.2003 N 131-ФЗ "Об общих принципах организации местного самоуправления в Российской Федерации" по организации тепло-, водоснабжения населения, водоотведения в границах муниципальных образований Новосибирской области.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субсидий бюджетам поселений из бюджета района на исполнение полномочий по организации тепло-, водоснабжения населения, водоотведения в границах муниципальных образований Новосибирской области осуществляется в пределах бюджетных ассигнований и лимитов бюджетных обязательств, установленных администрацией района на соответствующий финансовый год и плановый период на реализацию данного направления расходов.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предоставления субсидий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Основанием для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едоставления субсидии является С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о предоставлении субсидии, заключаемое между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и получателями (далее - Соглашение).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утвержденных П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Новосибирской области от 03.03.2020 N 40-п, а также: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области, утвержденных П</w:t>
      </w: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Новосибирской области от 03.03.2020 N 40-п, а также: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требования аудиторского заключения по результатам независимой проверки бухгалтерской (финансовой) отчетности муниципальных унитарных (казенных) предприятий коммунального комплекса, являющихся поставщиками коммунального ресурса, проведенной в соответствии с требованиями Федерального закона от 30.12.2008 N 307-ФЗ "Об аудиторской деятельности";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требования о проведении не менее одного анализа угля на соответствие требований к качеству угля, предусмотренных договором (контрактом) поставки, проведенного специализированной организацией. Проведение данного анализа осуществляется за счет средств организаций коммунального комплекса, получателей субсидии в текущем году на погашение кредиторской задолженности за уголь и (или) создание нормативного запаса угля в размере более одного миллиона рублей включительно;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требования об отсутствии задолженности по выплате заработной платы на первое число месяца, предшествующего месяцу, в котором планируется заключение Соглашения.</w:t>
      </w:r>
    </w:p>
    <w:p w:rsidR="00EE4C2C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субсидии местному бюджету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за сче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средств, указанных субсидий в С</w:t>
      </w: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оглашениях о предоставлении субсидий в бюджет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предельные уровни </w:t>
      </w:r>
      <w:proofErr w:type="spellStart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бюджета муниципального района.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Условиями предоставления субсидии являются: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</w:t>
      </w: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регулирующими бюджетные правоотношения (в случае если указанные расходные обязательства </w:t>
      </w:r>
      <w:proofErr w:type="spellStart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софинансируются</w:t>
      </w:r>
      <w:proofErr w:type="spellEnd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наличие в местных бюджетах бюджетных ассигнований на исполнение расходных обязательств получателей, в целях </w:t>
      </w:r>
      <w:proofErr w:type="spellStart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муниципального образования по исполнению расходных обязательств, в целях </w:t>
      </w:r>
      <w:proofErr w:type="spellStart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прибора учета тепловой энергии, установленного на узле технологического учета муниципального источника тепловой энергии. С 2023 года субсидии не предоставляются при отсутствии прибора учета тепловой энергии, установленного на узле учета хотя бы одного источника тепловой энергии, за исключением: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подлежащего закрытию или реконструкции в соответствии с планом, согласованным министерством жилищно-коммунального хозяйства и энергетики Новосибирской области и главой муниципального образования Новосибирской области;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отапливающего не более трех объектов, оборудованных приборами учета потребленной тепловой энергии;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наличие систем видеонаблюдения за топливными складами источников тепловой энергии муниципальных образований с выводом показаний на терминал в единую дежурную диспетчерскую службу муниципального образования. С 2021 года субсидии муниципальным образованиям Новосибирской области за счет средств областного бюджета Новосибирской области будут предоставляться в случае 40% оснащенности источников тепловой энергии системами видеонаблюдения от их общего числа, в 2022 году - 70%, в 2023 году - 100%;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наличие аудиторского заключения по результатам независимой проверки бухгалтерской (финансовой) отчетности муниципальных унитарных (казенных) предприятий коммунального комплекса, являющихся поставщиками коммунального ресурса, проведенной в соответствии с требованиями Федерального закона от 30.12.2008 N 307-ФЗ "Об аудиторской деятельности";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проведение не менее одного анализа угля на соответствие требований к качеству угля, предусмотренных договором (контрактом) поставки, проведенного специализированной организацией. Проведение данного анализа осуществляется за счет средств организаций коммунального комплекса, получателей субсидии в текущем году на погашение кредиторской задолженности за уголь и (или) создание нормативного запаса угля в размере более одного миллиона рублей включительно;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8) выполнение, начиная с 2020 года, режимно-наладочных испытаний и работ на тепловой сети, подключенной к муниципальному источнику тепловой энергии при ее протяженности более 5 км в соответствии с требованиями Правил технической эксплуатации тепловых энергоустановок, утвержденных приказом Минэнерго России от 24.03.2003 N 115 "Об утверждении Правил технической эксплуатации тепловых энергоустановок".</w:t>
      </w:r>
    </w:p>
    <w:p w:rsidR="00EE4C2C" w:rsidRPr="0040458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режимно-наладочных испытаний и работ элементов системы теплоснабжения предоставляется подтверждающий документ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проведении;</w:t>
      </w:r>
    </w:p>
    <w:p w:rsidR="00EE4C2C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87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отсутствие задолженности по выплате заработной платы на первое число месяца, предшествующего месяцу, в котором планируется заключение Соглашения;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предоставление получателями ГРБС копий следующих документов в сроки, установленные в Соглашении о предоставлении субсидии: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заявок на предоставление субсидий;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направлении средств субсидии, направленных на погашение задолженности организаций коммунального комплекса перед поставщиками ресурсов, в том числе за услуги по транспортировке газа, услуги водоснабжения и водоотведения, в том числе на возмещение расходов муниципальным образованиям, связанных с плановой подготовкой объектов коммунального хозяйства: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оглашений между администрацией муниципального района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организациями коммунального комплекса, осуществляющими регулируемую деятельность в сфере теплоснабжения, горячего водоснабжения, холодного водоснабжения и водоотведения (далее - организации коммунального комплекса), о предоставлении целевой субсидии;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организации коммунального комплекса с поставщиками ресурсов;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сверки задолженности между организацией коммунального комплекса и поставщиками ресурсов на дату, предшествующую получению средств субсидии;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 направлении средств субсидии, направленных на обеспечение источников тепловой энергии нормативным запасом топлива: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соглашений между администрацией муниципального района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организациями коммунального комплекса о предоставлении целевой 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организации коммунального комплекса с поставщиками топливно-энергетических ресурсов на поставку топлива;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товарно-транспортных накладных;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11) централизация закупок товаров, работ, услуг, включенных в перечень товаров,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отсутствие в местном бюджете неиспользованного остатка субсидий, предоставленных ранее на аналогичные цели, в объеме более 5% от общего объема субсидии, запланированной к предоставлению в соответствующем финансовом году;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наличие справки о надлежащем ведении бухгалтерского учета в муниципальных унитарных предприятиях муниципального района (городского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Новосибирской области, осуществляющих регулируемый вид деятельности в сфере теплоснабжения, и осуществлении в отношении муниципальных унитарных предприятий контроля учредителя (собственника).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Основанием для отказа в предоставлении субсидии является: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(представление не в полном объеме либо с нарушением сроков) документов, указанных в подпункте 10 пункта 3.2 настоящего Порядка;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неисполнение условий предоставления субсидий, предусмотренных подпунктами 1, 2, 3, 4, 5, 6, 7, 8, 9, 11, 12 пункта 3.2 настоящего Порядка.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нарушения получателями условий предоставления субсидий, установленных пунктом 3.2 настоящего Порядка, администрация района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Перечисление субсидий бюджетам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Каргатск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области осуществляется в сроки, установленные в Соглашении.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Доля </w:t>
      </w:r>
      <w:proofErr w:type="spellStart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из бюджета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,4% от общей стоимости работ по подготовке к отопительному сезону.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Условия расходования субсидии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Осуществление расходов производится: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товарно-транспортных накладных;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 лицевых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четов получателей на основании С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области;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Распорядитель бюджетных средств и орган муниципального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Финансирование осуществляется с лицевого счета администрации района в доход бюджетов поселений на основании Соглашений в пределах лимитов, предусмотренных бюджетом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области.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Остаток бюджетных средств, не использованный получателями в текущем финансовом году, подлежит возврату в районный бюджет в соответствии с бюджетным законодательством Российской Федерации.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Результаты использования субсидий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Результатом использования субсидии является получение муниципальными образованиями Новосибирской области паспортов/положительных актов готовности к отопительному периоду до конца года, в котором предоставлена субсидия.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Минэнерго России от 12.03.2013 N 103 "Об утверждении Правил оценки готовности к отопительному периоду" срок выдачи паспорта готовности к отопительному периоду для муниципального образования - не позднее 15 ноября года. Муниципальное образование, не получившее паспорт готовности в срок до 15 ноября, обязано продолжить подготовку к отопительному периоду и устранить замечания, указанные в акте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показателя результата, указанного в настоящем пункте, должно быть установлено в Соглашении.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Получатели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Получат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несут ответственность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</w:t>
      </w:r>
      <w:proofErr w:type="spellEnd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результативности использования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Соглашением.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Порядок оценки эффективности использования субсидий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Оценка эффективности использования субсидии осуществляется на основе ежегодно представляемого получателем отчета о достижении показателей результатов использования субсидии, представляемого в сроки, установленные в Соглашении.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5.1. настоящего Порядка.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представления получателем отчета о достижении показателей результатов использования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готовит информацию о достижении (</w:t>
      </w:r>
      <w:proofErr w:type="spellStart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получателем субсидии результатов, указанных в пункте 5.1. настоящего Порядка.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отчетном финансовом году получателем не достигнуто установленное Соглашением значение показателя результата использования субсидии, указанного в пункте 5.1. настоящего Порядка, либо нарушены обязательства по соблюдению уровня </w:t>
      </w:r>
      <w:proofErr w:type="spellStart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муниципального образования, в целях </w:t>
      </w:r>
      <w:proofErr w:type="spellStart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предоставляется субсидия, средства субсидии подлежат возврату в бюджета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и Новосибирской области.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расчета объема средств, подлежащих возврату из бюджетов поселений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в бюджет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района, в объеме субсидии, предоставленной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поселений Каргатского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области, утвержденных П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Новосибирской области от 03.03.2020 N 40-п.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Основания и порядок применения мер 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твенности за нарушения условий С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оглашений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Администрация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и органы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финансового контроля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области осуществляют обязательную проверку соблюдения условий, целей и порядка предоставления субсидий их получателями.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Остаток бюджетных средств, не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использованный получателями в текущем 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финансовом году, подлежит возврату в бюджет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аргат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и Новосибирской области.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Получатели несут ответственность за нецелевое использование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и Новосибирской области.</w:t>
      </w:r>
    </w:p>
    <w:p w:rsidR="00EE4C2C" w:rsidRPr="005D2FA7" w:rsidRDefault="00EE4C2C" w:rsidP="00EE4C2C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Получатели несут ответственность за </w:t>
      </w:r>
      <w:proofErr w:type="spellStart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использования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Соглашением.</w:t>
      </w:r>
    </w:p>
    <w:p w:rsidR="00EE4C2C" w:rsidRPr="00F83BC0" w:rsidRDefault="00EE4C2C" w:rsidP="00EE4C2C">
      <w:pPr>
        <w:tabs>
          <w:tab w:val="left" w:pos="456"/>
          <w:tab w:val="left" w:pos="61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Получатели несут ответственность за неисполнение или ненадлежащее исполнение обязательств по Соглашению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2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</w:t>
      </w:r>
    </w:p>
    <w:sectPr w:rsidR="00EE4C2C" w:rsidRPr="00F83BC0" w:rsidSect="00BC102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CF0"/>
    <w:multiLevelType w:val="multilevel"/>
    <w:tmpl w:val="538EC1E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1" w:hanging="675"/>
      </w:pPr>
      <w:rPr>
        <w:rFonts w:hint="default"/>
        <w:sz w:val="28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38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2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56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148" w:hanging="1800"/>
      </w:pPr>
      <w:rPr>
        <w:rFonts w:hint="default"/>
        <w:sz w:val="28"/>
      </w:rPr>
    </w:lvl>
  </w:abstractNum>
  <w:abstractNum w:abstractNumId="1" w15:restartNumberingAfterBreak="0">
    <w:nsid w:val="3DCD19CB"/>
    <w:multiLevelType w:val="hybridMultilevel"/>
    <w:tmpl w:val="7520C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435AA"/>
    <w:multiLevelType w:val="hybridMultilevel"/>
    <w:tmpl w:val="0EBA5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E0"/>
    <w:rsid w:val="000E4C02"/>
    <w:rsid w:val="00140687"/>
    <w:rsid w:val="001950E1"/>
    <w:rsid w:val="001B7A67"/>
    <w:rsid w:val="001E03EA"/>
    <w:rsid w:val="002446E0"/>
    <w:rsid w:val="00275C1C"/>
    <w:rsid w:val="002835BD"/>
    <w:rsid w:val="002F07FE"/>
    <w:rsid w:val="00392F80"/>
    <w:rsid w:val="00440D93"/>
    <w:rsid w:val="00442343"/>
    <w:rsid w:val="00472C24"/>
    <w:rsid w:val="004A2F28"/>
    <w:rsid w:val="005339EC"/>
    <w:rsid w:val="005369FC"/>
    <w:rsid w:val="005A2031"/>
    <w:rsid w:val="005D0BA0"/>
    <w:rsid w:val="005D0BF9"/>
    <w:rsid w:val="006A41BD"/>
    <w:rsid w:val="006E2DFC"/>
    <w:rsid w:val="006E559B"/>
    <w:rsid w:val="007010B3"/>
    <w:rsid w:val="0076695B"/>
    <w:rsid w:val="007D56D2"/>
    <w:rsid w:val="00823579"/>
    <w:rsid w:val="00836792"/>
    <w:rsid w:val="008A2D82"/>
    <w:rsid w:val="008E23AC"/>
    <w:rsid w:val="008E3EF4"/>
    <w:rsid w:val="00900DD2"/>
    <w:rsid w:val="0096610C"/>
    <w:rsid w:val="009D1F83"/>
    <w:rsid w:val="00AE5B5E"/>
    <w:rsid w:val="00B32D95"/>
    <w:rsid w:val="00B36891"/>
    <w:rsid w:val="00BB7429"/>
    <w:rsid w:val="00BC1021"/>
    <w:rsid w:val="00BE5D85"/>
    <w:rsid w:val="00BF59FF"/>
    <w:rsid w:val="00C435F2"/>
    <w:rsid w:val="00CB0B51"/>
    <w:rsid w:val="00CB6DE9"/>
    <w:rsid w:val="00CE3025"/>
    <w:rsid w:val="00D015CD"/>
    <w:rsid w:val="00D3635C"/>
    <w:rsid w:val="00E0381C"/>
    <w:rsid w:val="00E87ACA"/>
    <w:rsid w:val="00E97D50"/>
    <w:rsid w:val="00EE4C2C"/>
    <w:rsid w:val="00F67227"/>
    <w:rsid w:val="00F71725"/>
    <w:rsid w:val="00F83BC0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B76D"/>
  <w15:docId w15:val="{24DF9ECF-7A5A-49E5-A29F-96D3462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6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2446E0"/>
    <w:rPr>
      <w:b/>
      <w:bCs/>
    </w:rPr>
  </w:style>
  <w:style w:type="paragraph" w:styleId="a4">
    <w:name w:val="List Paragraph"/>
    <w:basedOn w:val="a"/>
    <w:uiPriority w:val="34"/>
    <w:qFormat/>
    <w:rsid w:val="00244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6E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32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BC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USR230819</dc:creator>
  <cp:lastModifiedBy>USR020424</cp:lastModifiedBy>
  <cp:revision>14</cp:revision>
  <cp:lastPrinted>2023-06-26T08:49:00Z</cp:lastPrinted>
  <dcterms:created xsi:type="dcterms:W3CDTF">2023-11-29T03:01:00Z</dcterms:created>
  <dcterms:modified xsi:type="dcterms:W3CDTF">2025-12-19T09:04:00Z</dcterms:modified>
</cp:coreProperties>
</file>